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5C658">
      <w:pPr>
        <w:spacing w:line="500" w:lineRule="exact"/>
        <w:ind w:firstLine="4000" w:firstLineChars="1000"/>
        <w:outlineLvl w:val="2"/>
        <w:rPr>
          <w:rFonts w:ascii="方正小标宋简体" w:hAnsi="黑体" w:eastAsia="方正小标宋简体" w:cs="华文中宋"/>
          <w:bCs/>
          <w:sz w:val="40"/>
          <w:szCs w:val="40"/>
        </w:rPr>
      </w:pPr>
      <w:r>
        <w:rPr>
          <w:rFonts w:hint="eastAsia" w:ascii="方正小标宋简体" w:hAnsi="黑体" w:eastAsia="方正小标宋简体" w:cs="华文中宋"/>
          <w:bCs/>
          <w:sz w:val="40"/>
          <w:szCs w:val="40"/>
        </w:rPr>
        <w:t>报价函</w:t>
      </w:r>
    </w:p>
    <w:p w14:paraId="3A17B95E">
      <w:pPr>
        <w:spacing w:line="440" w:lineRule="exact"/>
        <w:ind w:firstLine="435"/>
        <w:rPr>
          <w:rFonts w:ascii="宋体" w:hAnsi="宋体" w:eastAsia="宋体" w:cstheme="minorEastAsia"/>
          <w:b/>
          <w:sz w:val="24"/>
          <w:szCs w:val="28"/>
        </w:rPr>
      </w:pPr>
    </w:p>
    <w:p w14:paraId="19D3D3C3">
      <w:pPr>
        <w:spacing w:line="54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theme="minorEastAsia"/>
          <w:bCs/>
          <w:sz w:val="28"/>
          <w:szCs w:val="28"/>
        </w:rPr>
        <w:t>项目名称：</w:t>
      </w:r>
      <w:r>
        <w:rPr>
          <w:rFonts w:hint="eastAsia" w:ascii="仿宋_GB2312" w:eastAsia="仿宋_GB2312"/>
          <w:sz w:val="28"/>
          <w:szCs w:val="28"/>
        </w:rPr>
        <w:t>“新徽派版画名家系列展——张在元、丁少中艺术文献联展”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展览服务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宋体"/>
          <w:sz w:val="28"/>
          <w:szCs w:val="28"/>
        </w:rPr>
        <w:t>询价函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8"/>
        <w:gridCol w:w="6064"/>
      </w:tblGrid>
      <w:tr w14:paraId="6DBB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1C963">
            <w:pPr>
              <w:spacing w:line="480" w:lineRule="exact"/>
              <w:ind w:firstLine="562" w:firstLineChars="200"/>
              <w:rPr>
                <w:rFonts w:ascii="仿宋" w:hAnsi="仿宋" w:eastAsia="仿宋" w:cstheme="minorEastAsia"/>
                <w:b/>
                <w:sz w:val="24"/>
              </w:rPr>
            </w:pPr>
            <w:r>
              <w:rPr>
                <w:rFonts w:hint="eastAsia" w:ascii="仿宋" w:hAnsi="仿宋" w:eastAsia="仿宋" w:cstheme="minorEastAsia"/>
                <w:b/>
                <w:sz w:val="28"/>
                <w:szCs w:val="28"/>
              </w:rPr>
              <w:t>供应商名称</w:t>
            </w:r>
          </w:p>
        </w:tc>
        <w:tc>
          <w:tcPr>
            <w:tcW w:w="3557" w:type="pct"/>
            <w:tcBorders>
              <w:left w:val="single" w:color="auto" w:sz="4" w:space="0"/>
            </w:tcBorders>
          </w:tcPr>
          <w:p w14:paraId="5D04523C">
            <w:pPr>
              <w:spacing w:line="480" w:lineRule="exact"/>
              <w:rPr>
                <w:rFonts w:ascii="仿宋" w:hAnsi="仿宋" w:eastAsia="仿宋" w:cstheme="minorEastAsia"/>
                <w:b/>
                <w:sz w:val="24"/>
              </w:rPr>
            </w:pPr>
          </w:p>
        </w:tc>
      </w:tr>
      <w:tr w14:paraId="19775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274EF">
            <w:pPr>
              <w:spacing w:line="480" w:lineRule="exact"/>
              <w:ind w:firstLine="562" w:firstLineChars="200"/>
              <w:rPr>
                <w:rFonts w:ascii="仿宋" w:hAnsi="仿宋" w:eastAsia="仿宋" w:cstheme="minorEastAsia"/>
                <w:b/>
                <w:sz w:val="24"/>
              </w:rPr>
            </w:pPr>
            <w:r>
              <w:rPr>
                <w:rFonts w:hint="eastAsia" w:ascii="仿宋" w:hAnsi="仿宋" w:eastAsia="仿宋" w:cstheme="minorEastAsia"/>
                <w:b/>
                <w:sz w:val="28"/>
                <w:szCs w:val="28"/>
              </w:rPr>
              <w:t>报价范围</w:t>
            </w:r>
          </w:p>
        </w:tc>
        <w:tc>
          <w:tcPr>
            <w:tcW w:w="3557" w:type="pct"/>
            <w:tcBorders>
              <w:left w:val="single" w:color="auto" w:sz="4" w:space="0"/>
            </w:tcBorders>
            <w:vAlign w:val="center"/>
          </w:tcPr>
          <w:p w14:paraId="07704F04">
            <w:pPr>
              <w:widowControl/>
              <w:spacing w:line="480" w:lineRule="exact"/>
              <w:rPr>
                <w:rFonts w:ascii="仿宋" w:hAnsi="仿宋" w:eastAsia="仿宋" w:cstheme="minorEastAsia"/>
                <w:b/>
                <w:sz w:val="24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详细报价单附后</w:t>
            </w:r>
          </w:p>
        </w:tc>
      </w:tr>
      <w:tr w14:paraId="57B44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1442" w:type="pct"/>
            <w:tcBorders>
              <w:top w:val="single" w:color="auto" w:sz="4" w:space="0"/>
            </w:tcBorders>
            <w:vAlign w:val="center"/>
          </w:tcPr>
          <w:p w14:paraId="2DB35E60">
            <w:pPr>
              <w:spacing w:line="480" w:lineRule="exact"/>
              <w:ind w:firstLine="562" w:firstLineChars="200"/>
              <w:rPr>
                <w:rFonts w:ascii="仿宋" w:hAnsi="仿宋" w:eastAsia="仿宋" w:cstheme="minorEastAsia"/>
              </w:rPr>
            </w:pPr>
            <w:r>
              <w:rPr>
                <w:rFonts w:hint="eastAsia" w:ascii="仿宋" w:hAnsi="仿宋" w:eastAsia="仿宋" w:cstheme="minorEastAsia"/>
                <w:b/>
                <w:sz w:val="28"/>
                <w:szCs w:val="28"/>
              </w:rPr>
              <w:t>响应报价</w:t>
            </w:r>
          </w:p>
        </w:tc>
        <w:tc>
          <w:tcPr>
            <w:tcW w:w="3557" w:type="pct"/>
            <w:vAlign w:val="center"/>
          </w:tcPr>
          <w:p w14:paraId="039B80BB">
            <w:pPr>
              <w:snapToGrid w:val="0"/>
              <w:spacing w:line="480" w:lineRule="exact"/>
              <w:rPr>
                <w:rFonts w:ascii="仿宋" w:hAnsi="仿宋" w:eastAsia="仿宋" w:cstheme="minorEastAsia"/>
                <w:sz w:val="24"/>
                <w:szCs w:val="28"/>
              </w:rPr>
            </w:pPr>
          </w:p>
          <w:p w14:paraId="3489ED8E">
            <w:pPr>
              <w:snapToGrid w:val="0"/>
              <w:spacing w:line="480" w:lineRule="exact"/>
              <w:rPr>
                <w:rFonts w:ascii="仿宋" w:hAnsi="仿宋" w:eastAsia="仿宋" w:cstheme="minorEastAsia"/>
                <w:bCs/>
                <w:sz w:val="24"/>
                <w:u w:val="single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</w:rPr>
              <w:t>人民币大写：</w:t>
            </w:r>
            <w:r>
              <w:rPr>
                <w:rFonts w:hint="eastAsia" w:ascii="仿宋" w:hAnsi="仿宋" w:eastAsia="仿宋" w:cstheme="minorEastAsia"/>
                <w:bCs/>
                <w:sz w:val="24"/>
                <w:u w:val="single"/>
              </w:rPr>
              <w:t xml:space="preserve">                        </w:t>
            </w:r>
          </w:p>
          <w:p w14:paraId="4D886B4F">
            <w:pPr>
              <w:snapToGrid w:val="0"/>
              <w:spacing w:line="480" w:lineRule="exact"/>
              <w:rPr>
                <w:rFonts w:ascii="仿宋" w:hAnsi="仿宋" w:eastAsia="仿宋" w:cstheme="minorEastAsia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</w:rPr>
              <w:t>人民币小写：</w:t>
            </w:r>
            <w:r>
              <w:rPr>
                <w:rFonts w:hint="eastAsia" w:ascii="仿宋" w:hAnsi="仿宋" w:eastAsia="仿宋" w:cstheme="minorEastAsia"/>
                <w:bCs/>
                <w:sz w:val="24"/>
                <w:u w:val="single"/>
              </w:rPr>
              <w:t xml:space="preserve">                        </w:t>
            </w:r>
          </w:p>
          <w:p w14:paraId="35455E6D">
            <w:pPr>
              <w:snapToGrid w:val="0"/>
              <w:spacing w:line="480" w:lineRule="exact"/>
              <w:rPr>
                <w:rFonts w:ascii="仿宋" w:hAnsi="仿宋" w:eastAsia="仿宋" w:cstheme="minorEastAsia"/>
                <w:b/>
                <w:sz w:val="24"/>
              </w:rPr>
            </w:pPr>
          </w:p>
        </w:tc>
      </w:tr>
      <w:tr w14:paraId="4D861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442" w:type="pct"/>
            <w:tcBorders>
              <w:top w:val="single" w:color="auto" w:sz="4" w:space="0"/>
            </w:tcBorders>
            <w:vAlign w:val="center"/>
          </w:tcPr>
          <w:p w14:paraId="5D2C9355">
            <w:pPr>
              <w:spacing w:line="480" w:lineRule="exact"/>
              <w:ind w:firstLine="843" w:firstLineChars="300"/>
              <w:rPr>
                <w:rFonts w:ascii="仿宋" w:hAnsi="仿宋" w:eastAsia="仿宋" w:cstheme="minorEastAsia"/>
                <w:b/>
                <w:sz w:val="24"/>
              </w:rPr>
            </w:pPr>
            <w:r>
              <w:rPr>
                <w:rFonts w:hint="eastAsia" w:ascii="仿宋" w:hAnsi="仿宋" w:eastAsia="仿宋" w:cstheme="minorEastAsia"/>
                <w:b/>
                <w:sz w:val="28"/>
                <w:szCs w:val="28"/>
              </w:rPr>
              <w:t>服务期</w:t>
            </w:r>
          </w:p>
        </w:tc>
        <w:tc>
          <w:tcPr>
            <w:tcW w:w="3557" w:type="pct"/>
            <w:vAlign w:val="center"/>
          </w:tcPr>
          <w:p w14:paraId="144E8676">
            <w:pPr>
              <w:snapToGrid w:val="0"/>
              <w:spacing w:line="480" w:lineRule="exact"/>
              <w:rPr>
                <w:rFonts w:hint="default" w:ascii="仿宋" w:hAnsi="仿宋" w:eastAsia="仿宋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sz w:val="28"/>
                <w:szCs w:val="28"/>
              </w:rPr>
              <w:t>自合同签订之日起至</w:t>
            </w:r>
            <w:r>
              <w:rPr>
                <w:rFonts w:hint="eastAsia" w:ascii="仿宋" w:hAnsi="仿宋" w:eastAsia="仿宋" w:cstheme="minorEastAsia"/>
                <w:sz w:val="28"/>
                <w:szCs w:val="28"/>
                <w:lang w:val="en-US" w:eastAsia="zh-CN"/>
              </w:rPr>
              <w:t>展览结束</w:t>
            </w:r>
          </w:p>
        </w:tc>
      </w:tr>
    </w:tbl>
    <w:p w14:paraId="1721E2B7">
      <w:pPr>
        <w:spacing w:line="480" w:lineRule="exact"/>
        <w:ind w:firstLine="4016" w:firstLineChars="1250"/>
        <w:rPr>
          <w:rFonts w:ascii="仿宋" w:hAnsi="仿宋" w:eastAsia="仿宋" w:cstheme="minorEastAsia"/>
          <w:b/>
          <w:bCs/>
          <w:sz w:val="32"/>
          <w:szCs w:val="32"/>
        </w:rPr>
      </w:pPr>
    </w:p>
    <w:p w14:paraId="5A526F12">
      <w:pPr>
        <w:spacing w:line="480" w:lineRule="exact"/>
        <w:jc w:val="center"/>
        <w:rPr>
          <w:rFonts w:hint="eastAsia" w:ascii="仿宋" w:hAnsi="仿宋" w:eastAsia="仿宋" w:cstheme="minorEastAsia"/>
          <w:b/>
          <w:bCs/>
          <w:sz w:val="32"/>
          <w:szCs w:val="32"/>
        </w:rPr>
      </w:pPr>
      <w:r>
        <w:rPr>
          <w:rFonts w:hint="eastAsia" w:ascii="仿宋" w:hAnsi="仿宋" w:eastAsia="仿宋" w:cstheme="minorEastAsia"/>
          <w:b/>
          <w:bCs/>
          <w:sz w:val="32"/>
          <w:szCs w:val="32"/>
        </w:rPr>
        <w:t>详细报价单</w:t>
      </w:r>
    </w:p>
    <w:p w14:paraId="2CF9AEDA">
      <w:pPr>
        <w:spacing w:line="460" w:lineRule="exact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</w:p>
    <w:tbl>
      <w:tblPr>
        <w:tblStyle w:val="3"/>
        <w:tblpPr w:leftFromText="180" w:rightFromText="180" w:vertAnchor="text" w:horzAnchor="page" w:tblpXSpec="center" w:tblpY="3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260"/>
        <w:gridCol w:w="5154"/>
        <w:gridCol w:w="735"/>
        <w:gridCol w:w="804"/>
      </w:tblGrid>
      <w:tr w14:paraId="348D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774" w:type="dxa"/>
            <w:vAlign w:val="center"/>
          </w:tcPr>
          <w:p w14:paraId="268D415E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序号</w:t>
            </w:r>
          </w:p>
        </w:tc>
        <w:tc>
          <w:tcPr>
            <w:tcW w:w="1260" w:type="dxa"/>
            <w:vAlign w:val="center"/>
          </w:tcPr>
          <w:p w14:paraId="05F6684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名称</w:t>
            </w:r>
          </w:p>
        </w:tc>
        <w:tc>
          <w:tcPr>
            <w:tcW w:w="5154" w:type="dxa"/>
            <w:vAlign w:val="center"/>
          </w:tcPr>
          <w:p w14:paraId="5C1DDD5B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标准要求或规格型号</w:t>
            </w:r>
          </w:p>
        </w:tc>
        <w:tc>
          <w:tcPr>
            <w:tcW w:w="735" w:type="dxa"/>
            <w:vAlign w:val="center"/>
          </w:tcPr>
          <w:p w14:paraId="6519887C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数量</w:t>
            </w:r>
          </w:p>
        </w:tc>
        <w:tc>
          <w:tcPr>
            <w:tcW w:w="804" w:type="dxa"/>
            <w:vAlign w:val="center"/>
          </w:tcPr>
          <w:p w14:paraId="3B88F98C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报价</w:t>
            </w:r>
          </w:p>
        </w:tc>
      </w:tr>
      <w:tr w14:paraId="269C2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74" w:type="dxa"/>
            <w:vMerge w:val="restart"/>
            <w:vAlign w:val="center"/>
          </w:tcPr>
          <w:p w14:paraId="67EFACE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</w:t>
            </w:r>
          </w:p>
        </w:tc>
        <w:tc>
          <w:tcPr>
            <w:tcW w:w="1260" w:type="dxa"/>
            <w:vMerge w:val="restart"/>
            <w:vAlign w:val="center"/>
          </w:tcPr>
          <w:p w14:paraId="490E165B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展览物料</w:t>
            </w:r>
          </w:p>
        </w:tc>
        <w:tc>
          <w:tcPr>
            <w:tcW w:w="5154" w:type="dxa"/>
            <w:vAlign w:val="center"/>
          </w:tcPr>
          <w:p w14:paraId="688AF315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根据展厅设置不少于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处展陈效果，1.2米乘10米、3米乘5米各一处</w:t>
            </w:r>
          </w:p>
        </w:tc>
        <w:tc>
          <w:tcPr>
            <w:tcW w:w="735" w:type="dxa"/>
            <w:vAlign w:val="center"/>
          </w:tcPr>
          <w:p w14:paraId="21BC59CD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vAlign w:val="center"/>
          </w:tcPr>
          <w:p w14:paraId="7171C3E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5D73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74" w:type="dxa"/>
            <w:vMerge w:val="continue"/>
            <w:vAlign w:val="center"/>
          </w:tcPr>
          <w:p w14:paraId="7256B2ED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3EFD259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5154" w:type="dxa"/>
            <w:vAlign w:val="center"/>
          </w:tcPr>
          <w:p w14:paraId="226BB90A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包括但不限于前言、广告、标签、导览等展览物料（含雕刻字，布幔等）</w:t>
            </w:r>
          </w:p>
        </w:tc>
        <w:tc>
          <w:tcPr>
            <w:tcW w:w="735" w:type="dxa"/>
            <w:vAlign w:val="center"/>
          </w:tcPr>
          <w:p w14:paraId="6909D837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vAlign w:val="center"/>
          </w:tcPr>
          <w:p w14:paraId="171C1F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C8B9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74" w:type="dxa"/>
            <w:vMerge w:val="continue"/>
            <w:vAlign w:val="center"/>
          </w:tcPr>
          <w:p w14:paraId="0FCBE08D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10FC4F0C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5154" w:type="dxa"/>
            <w:vAlign w:val="center"/>
          </w:tcPr>
          <w:p w14:paraId="39876E5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不少于25件作品的装裱与配框</w:t>
            </w:r>
          </w:p>
        </w:tc>
        <w:tc>
          <w:tcPr>
            <w:tcW w:w="735" w:type="dxa"/>
            <w:vAlign w:val="center"/>
          </w:tcPr>
          <w:p w14:paraId="48312B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vAlign w:val="center"/>
          </w:tcPr>
          <w:p w14:paraId="46D1FC6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36F4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74" w:type="dxa"/>
            <w:vAlign w:val="center"/>
          </w:tcPr>
          <w:p w14:paraId="57F107A4">
            <w:pPr>
              <w:widowControl/>
              <w:jc w:val="center"/>
              <w:rPr>
                <w:szCs w:val="21"/>
              </w:rPr>
            </w:pPr>
          </w:p>
          <w:p w14:paraId="299E41A3">
            <w:pPr>
              <w:pStyle w:val="2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1260" w:type="dxa"/>
            <w:vAlign w:val="center"/>
          </w:tcPr>
          <w:p w14:paraId="46911D6D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展览布、撤展人工</w:t>
            </w:r>
          </w:p>
        </w:tc>
        <w:tc>
          <w:tcPr>
            <w:tcW w:w="5154" w:type="dxa"/>
            <w:vAlign w:val="center"/>
          </w:tcPr>
          <w:p w14:paraId="21519399">
            <w:pPr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展览布、撤展人工（2次，作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  <w:t>不少于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，文献展板约50㎡及展览物料等）</w:t>
            </w:r>
          </w:p>
        </w:tc>
        <w:tc>
          <w:tcPr>
            <w:tcW w:w="735" w:type="dxa"/>
            <w:vAlign w:val="center"/>
          </w:tcPr>
          <w:p w14:paraId="2437A738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vAlign w:val="center"/>
          </w:tcPr>
          <w:p w14:paraId="26A33F7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F5D8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74" w:type="dxa"/>
            <w:vMerge w:val="restart"/>
            <w:vAlign w:val="center"/>
          </w:tcPr>
          <w:p w14:paraId="638FDEEB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1260" w:type="dxa"/>
            <w:vMerge w:val="restart"/>
            <w:shd w:val="clear" w:color="auto" w:fill="FFFFFF"/>
            <w:vAlign w:val="center"/>
          </w:tcPr>
          <w:p w14:paraId="0D633A70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作品征集、运输和保险</w:t>
            </w:r>
          </w:p>
        </w:tc>
        <w:tc>
          <w:tcPr>
            <w:tcW w:w="5154" w:type="dxa"/>
            <w:shd w:val="clear" w:color="auto" w:fill="FFFFFF"/>
            <w:vAlign w:val="center"/>
          </w:tcPr>
          <w:p w14:paraId="0607F0FC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赴六安市、蚌埠市运输展览所需作品及文献，展览结束后归还</w:t>
            </w:r>
          </w:p>
        </w:tc>
        <w:tc>
          <w:tcPr>
            <w:tcW w:w="735" w:type="dxa"/>
            <w:shd w:val="clear" w:color="auto" w:fill="FFFFFF"/>
            <w:vAlign w:val="center"/>
          </w:tcPr>
          <w:p w14:paraId="6251880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2次</w:t>
            </w:r>
          </w:p>
        </w:tc>
        <w:tc>
          <w:tcPr>
            <w:tcW w:w="804" w:type="dxa"/>
            <w:vAlign w:val="center"/>
          </w:tcPr>
          <w:p w14:paraId="636FD338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B339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74" w:type="dxa"/>
            <w:vMerge w:val="continue"/>
            <w:vAlign w:val="center"/>
          </w:tcPr>
          <w:p w14:paraId="76C6994C">
            <w:pPr>
              <w:jc w:val="center"/>
            </w:pPr>
          </w:p>
        </w:tc>
        <w:tc>
          <w:tcPr>
            <w:tcW w:w="1260" w:type="dxa"/>
            <w:vMerge w:val="continue"/>
            <w:vAlign w:val="center"/>
          </w:tcPr>
          <w:p w14:paraId="1FBC358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154" w:type="dxa"/>
            <w:shd w:val="clear" w:color="auto" w:fill="FFFFFF"/>
            <w:vAlign w:val="center"/>
          </w:tcPr>
          <w:p w14:paraId="10FCAA81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赴合肥市美术馆借展作品，展览结束后归还（专车运输，购买展览和运输保险）</w:t>
            </w:r>
          </w:p>
        </w:tc>
        <w:tc>
          <w:tcPr>
            <w:tcW w:w="735" w:type="dxa"/>
            <w:shd w:val="clear" w:color="auto" w:fill="FFFFFF"/>
            <w:vAlign w:val="center"/>
          </w:tcPr>
          <w:p w14:paraId="1BCEB540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2次</w:t>
            </w:r>
          </w:p>
        </w:tc>
        <w:tc>
          <w:tcPr>
            <w:tcW w:w="804" w:type="dxa"/>
            <w:vAlign w:val="center"/>
          </w:tcPr>
          <w:p w14:paraId="00700773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BBA7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774" w:type="dxa"/>
            <w:vMerge w:val="restart"/>
            <w:vAlign w:val="center"/>
          </w:tcPr>
          <w:p w14:paraId="619AA3E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1260" w:type="dxa"/>
            <w:vMerge w:val="restart"/>
            <w:vAlign w:val="center"/>
          </w:tcPr>
          <w:p w14:paraId="0D5E212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文献设计、排版与制作</w:t>
            </w:r>
          </w:p>
        </w:tc>
        <w:tc>
          <w:tcPr>
            <w:tcW w:w="5154" w:type="dxa"/>
            <w:vAlign w:val="center"/>
          </w:tcPr>
          <w:p w14:paraId="273713EE">
            <w:pPr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文献史料整理、排版（约50㎡文献排版、校对与整体设计）</w:t>
            </w:r>
          </w:p>
        </w:tc>
        <w:tc>
          <w:tcPr>
            <w:tcW w:w="735" w:type="dxa"/>
            <w:vAlign w:val="center"/>
          </w:tcPr>
          <w:p w14:paraId="5A03B50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vAlign w:val="center"/>
          </w:tcPr>
          <w:p w14:paraId="71D40A8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D27C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74" w:type="dxa"/>
            <w:vMerge w:val="continue"/>
            <w:vAlign w:val="center"/>
          </w:tcPr>
          <w:p w14:paraId="3EB829F6">
            <w:pPr>
              <w:jc w:val="center"/>
            </w:pPr>
          </w:p>
        </w:tc>
        <w:tc>
          <w:tcPr>
            <w:tcW w:w="1260" w:type="dxa"/>
            <w:vMerge w:val="continue"/>
            <w:vAlign w:val="center"/>
          </w:tcPr>
          <w:p w14:paraId="1AE9B36E">
            <w:pPr>
              <w:jc w:val="center"/>
            </w:pPr>
          </w:p>
        </w:tc>
        <w:tc>
          <w:tcPr>
            <w:tcW w:w="5154" w:type="dxa"/>
            <w:vAlign w:val="center"/>
          </w:tcPr>
          <w:p w14:paraId="67B823A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文献制作（约50㎡展板制作，雪弗板和写真附板）</w:t>
            </w:r>
          </w:p>
        </w:tc>
        <w:tc>
          <w:tcPr>
            <w:tcW w:w="735" w:type="dxa"/>
            <w:vAlign w:val="center"/>
          </w:tcPr>
          <w:p w14:paraId="0B104E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vAlign w:val="center"/>
          </w:tcPr>
          <w:p w14:paraId="48B9A5A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37D1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4" w:type="dxa"/>
            <w:vAlign w:val="center"/>
          </w:tcPr>
          <w:p w14:paraId="36A34AA2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260" w:type="dxa"/>
            <w:vAlign w:val="center"/>
          </w:tcPr>
          <w:p w14:paraId="28936994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展览场刊设计、印刷</w:t>
            </w:r>
          </w:p>
        </w:tc>
        <w:tc>
          <w:tcPr>
            <w:tcW w:w="5154" w:type="dxa"/>
            <w:vAlign w:val="center"/>
          </w:tcPr>
          <w:p w14:paraId="5C4741B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高清作品拍摄、场刊制作（A4大小，封面封底250g铜版纸哑膜，内页157g铜版纸，约24p，各300本）</w:t>
            </w:r>
          </w:p>
        </w:tc>
        <w:tc>
          <w:tcPr>
            <w:tcW w:w="735" w:type="dxa"/>
            <w:vAlign w:val="center"/>
          </w:tcPr>
          <w:p w14:paraId="748FE61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vAlign w:val="center"/>
          </w:tcPr>
          <w:p w14:paraId="7714052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748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4" w:type="dxa"/>
            <w:vAlign w:val="center"/>
          </w:tcPr>
          <w:p w14:paraId="3A712A0D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260" w:type="dxa"/>
            <w:vAlign w:val="center"/>
          </w:tcPr>
          <w:p w14:paraId="6295C67A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观摩研讨会专家代表邀请</w:t>
            </w:r>
          </w:p>
        </w:tc>
        <w:tc>
          <w:tcPr>
            <w:tcW w:w="5154" w:type="dxa"/>
            <w:vAlign w:val="center"/>
          </w:tcPr>
          <w:p w14:paraId="6AC240E2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展览期间，将在采购方处举办观摩座谈会，供应商负责邀请嘉宾（六安、蚌埠等省内嘉宾6人，包含往返交通费、1晚住宿、工作餐等）；合肥市内专家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的邀请（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  <w:t>约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10人，包含市内往返接送），以上均按差旅费标准执行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。</w:t>
            </w:r>
          </w:p>
        </w:tc>
        <w:tc>
          <w:tcPr>
            <w:tcW w:w="735" w:type="dxa"/>
            <w:vAlign w:val="center"/>
          </w:tcPr>
          <w:p w14:paraId="794781C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vAlign w:val="center"/>
          </w:tcPr>
          <w:p w14:paraId="136392D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5B01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4" w:type="dxa"/>
            <w:vMerge w:val="restart"/>
            <w:vAlign w:val="center"/>
          </w:tcPr>
          <w:p w14:paraId="479B397F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18A46CD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展览宣传</w:t>
            </w:r>
          </w:p>
          <w:p w14:paraId="20B1D3B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154" w:type="dxa"/>
            <w:shd w:val="clear" w:color="auto" w:fill="auto"/>
            <w:vAlign w:val="center"/>
          </w:tcPr>
          <w:p w14:paraId="4C4252A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视频脚本及拍摄</w:t>
            </w:r>
          </w:p>
          <w:p w14:paraId="3C31EEA2">
            <w:pPr>
              <w:jc w:val="center"/>
              <w:rPr>
                <w:rFonts w:ascii="宋体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（2个，每个视频成片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不少于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60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秒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）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F8B1E95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26C2B29A">
            <w:pPr>
              <w:jc w:val="center"/>
              <w:rPr>
                <w:rFonts w:ascii="宋体" w:hAnsi="宋体" w:eastAsiaTheme="minorEastAsia" w:cstheme="minorBidi"/>
                <w:szCs w:val="21"/>
              </w:rPr>
            </w:pPr>
          </w:p>
        </w:tc>
      </w:tr>
      <w:tr w14:paraId="5869A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4" w:type="dxa"/>
            <w:vMerge w:val="continue"/>
            <w:vAlign w:val="center"/>
          </w:tcPr>
          <w:p w14:paraId="6516E7C7">
            <w:pPr>
              <w:jc w:val="center"/>
            </w:pPr>
          </w:p>
        </w:tc>
        <w:tc>
          <w:tcPr>
            <w:tcW w:w="1260" w:type="dxa"/>
            <w:vMerge w:val="continue"/>
            <w:vAlign w:val="center"/>
          </w:tcPr>
          <w:p w14:paraId="351CA73B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154" w:type="dxa"/>
            <w:shd w:val="clear" w:color="auto" w:fill="auto"/>
            <w:vAlign w:val="center"/>
          </w:tcPr>
          <w:p w14:paraId="45997ECD">
            <w:pPr>
              <w:jc w:val="center"/>
              <w:rPr>
                <w:rFonts w:ascii="宋体" w:hAnsi="宋体" w:eastAsiaTheme="minorEastAsia" w:cstheme="minorBidi"/>
                <w:szCs w:val="21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在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不少于三家媒体发布视频或图文报道（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省级或以上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媒体平台2个，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合肥市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主要媒体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平台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1个）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10B8DB2">
            <w:pPr>
              <w:jc w:val="center"/>
              <w:rPr>
                <w:rFonts w:ascii="宋体" w:hAnsi="宋体" w:eastAsiaTheme="minorEastAsia" w:cstheme="minorBidi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6913ED39">
            <w:pPr>
              <w:jc w:val="center"/>
              <w:rPr>
                <w:rFonts w:ascii="宋体" w:hAnsi="宋体" w:eastAsiaTheme="minorEastAsia" w:cstheme="minorBidi"/>
                <w:szCs w:val="21"/>
              </w:rPr>
            </w:pPr>
          </w:p>
        </w:tc>
      </w:tr>
      <w:tr w14:paraId="17BDC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74" w:type="dxa"/>
            <w:vAlign w:val="center"/>
          </w:tcPr>
          <w:p w14:paraId="157DBD0D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260" w:type="dxa"/>
            <w:vAlign w:val="center"/>
          </w:tcPr>
          <w:p w14:paraId="72CBB61D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公共教育</w:t>
            </w:r>
          </w:p>
        </w:tc>
        <w:tc>
          <w:tcPr>
            <w:tcW w:w="5154" w:type="dxa"/>
            <w:vAlign w:val="center"/>
          </w:tcPr>
          <w:p w14:paraId="2F5EC19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配套本展览相关主题开展公共教育活动一场，参与人数不低于25人。</w:t>
            </w:r>
          </w:p>
        </w:tc>
        <w:tc>
          <w:tcPr>
            <w:tcW w:w="735" w:type="dxa"/>
            <w:vAlign w:val="center"/>
          </w:tcPr>
          <w:p w14:paraId="43544B2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04" w:type="dxa"/>
            <w:vAlign w:val="center"/>
          </w:tcPr>
          <w:p w14:paraId="4C869A9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029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34" w:type="dxa"/>
            <w:gridSpan w:val="2"/>
            <w:vAlign w:val="center"/>
          </w:tcPr>
          <w:p w14:paraId="6ECE7E03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合计</w:t>
            </w:r>
          </w:p>
        </w:tc>
        <w:tc>
          <w:tcPr>
            <w:tcW w:w="6693" w:type="dxa"/>
            <w:gridSpan w:val="3"/>
            <w:vAlign w:val="center"/>
          </w:tcPr>
          <w:p w14:paraId="6F9E2A31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001FC850">
      <w:pPr>
        <w:spacing w:line="480" w:lineRule="exact"/>
        <w:ind w:firstLine="4480" w:firstLineChars="1600"/>
        <w:rPr>
          <w:rFonts w:ascii="仿宋" w:hAnsi="仿宋" w:eastAsia="仿宋" w:cstheme="minorEastAsia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供应商公章：</w:t>
      </w:r>
      <w:r>
        <w:rPr>
          <w:rFonts w:hint="eastAsia" w:ascii="仿宋" w:hAnsi="仿宋" w:eastAsia="仿宋" w:cstheme="minorEastAsia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theme="minorEastAsia"/>
          <w:sz w:val="28"/>
          <w:szCs w:val="28"/>
        </w:rPr>
        <w:t xml:space="preserve">             </w:t>
      </w:r>
    </w:p>
    <w:p w14:paraId="309B3EC3">
      <w:pPr>
        <w:pStyle w:val="5"/>
        <w:spacing w:line="480" w:lineRule="exact"/>
        <w:ind w:firstLine="4480" w:firstLineChars="1600"/>
        <w:jc w:val="both"/>
        <w:rPr>
          <w:rFonts w:hint="eastAsia" w:ascii="仿宋" w:hAnsi="仿宋" w:eastAsia="仿宋" w:cstheme="minorEastAsia"/>
        </w:rPr>
      </w:pPr>
      <w:r>
        <w:rPr>
          <w:rFonts w:hint="eastAsia" w:ascii="仿宋" w:hAnsi="仿宋" w:eastAsia="仿宋" w:cstheme="minorEastAsia"/>
          <w:sz w:val="28"/>
          <w:szCs w:val="28"/>
        </w:rPr>
        <w:t xml:space="preserve">日      期： </w:t>
      </w:r>
      <w:r>
        <w:rPr>
          <w:rFonts w:hint="eastAsia" w:ascii="仿宋" w:hAnsi="仿宋" w:eastAsia="仿宋" w:cstheme="minorEastAsia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theme="minorEastAsia"/>
          <w:sz w:val="28"/>
          <w:szCs w:val="28"/>
        </w:rPr>
        <w:t xml:space="preserve">  </w:t>
      </w:r>
      <w:r>
        <w:rPr>
          <w:rFonts w:hint="eastAsia" w:ascii="仿宋" w:hAnsi="仿宋" w:eastAsia="仿宋" w:cstheme="minorEastAsia"/>
        </w:rPr>
        <w:t xml:space="preserve"> </w:t>
      </w:r>
    </w:p>
    <w:p w14:paraId="4F772E03">
      <w:pPr>
        <w:pStyle w:val="5"/>
        <w:spacing w:line="480" w:lineRule="exact"/>
        <w:ind w:firstLine="3840" w:firstLineChars="1600"/>
        <w:jc w:val="both"/>
        <w:rPr>
          <w:rFonts w:hint="eastAsia" w:ascii="仿宋" w:hAnsi="仿宋" w:eastAsia="仿宋" w:cstheme="minorEastAsia"/>
        </w:rPr>
      </w:pPr>
    </w:p>
    <w:p w14:paraId="3908D0C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.〇.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500AE"/>
    <w:rsid w:val="2D15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.〇." w:hAnsi="Calibri" w:eastAsia="微软雅黑.〇." w:cs="微软雅黑.〇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2026-11-06T07:19:00Z</dcterms:created>
  <dc:creator>WPS_1652167326</dc:creator>
  <cp:lastModifiedBy>WPS_1652167326</cp:lastModifiedBy>
  <dcterms:modified xsi:type="dcterms:W3CDTF">2026-11-06T07:21:00Z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B94CD44D385743E28B1B48AE823DE149_11</vt:lpwstr>
  </property>
  <property fmtid="{D5CDD505-2E9C-101B-9397-08002B2CF9AE}" pid="4" name="KSOTemplateDocerSaveRecord">
    <vt:lpwstr>eyJoZGlkIjoiZmQ3MDUyY2E0MjgwZDU0OWEzNjAxMWMzZDhjMzU1ZTEiLCJ1c2VySWQiOiIxMzczNjIyMTU1In0=</vt:lpwstr>
  </property>
</Properties>
</file>